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21/2023,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21/2023, que tem por objeto a AQUISIÇÃO DE MATERIAL HOSPITALAR,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FERNAMED COM.DE PROD.MÉD.HOSPIT.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DENTAL SHOW COMERCIO CE PRODUETOS ODONTOLÓGICOS E HOSPITALARES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FUSÃO COMÉRCIO DE PRODUTOS ODONTOLÓGICOS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MAGNUS MED COMÉRCIO DE PRODUTOS HOSPITALARES E MEDICAMENTOS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SALVI LOPES &amp; CIA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DELTA SHOP - DISTRIBUIDORA DE PRODUTOS HOSPITALARES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NOVA CIRÚRGICA COMÉRCIO DE PRODUTOS HOSPITALARES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RBR COMÉRCIO DE PRODUTOS MÉDICO HOSPITALAR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PROTFLEX PRODUTOS INDUSTRIAIS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K &amp; M MEDICAL COMERCIO DE PRODUTOS HOSPITALARES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ESFIGMED COMERCIAL HOSPITALAR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MZZ COMERCIO DE PRODUTOS PARA SAUDE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H.F.E. COMERCIO DE MATERIAL MEDICO HOSPITALAR LTDA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TORRE FORTE ATACADO E VAREJO LTDA ME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GM COMERCIAL HOSPITALAR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ALDREY PAUCIO DA SILVA ME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BRASIL DEVICES EQUIPAMENTOS HOSPITALARES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ESTOMACENTER MEDICAL CARE EIRELI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05 de maio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LibreOffice/6.4.4.2$Windows_X86_64 LibreOffice_project/3d775be2011f3886db32dfd395a6a6d1ca2630ff</Application>
  <Pages>1</Pages>
  <Words>204</Words>
  <Characters>1214</Characters>
  <CharactersWithSpaces>1485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2023-05-09T15:20:57Z</cp:lastPrinted>
  <dcterms:modified xsi:type="dcterms:W3CDTF">2023-05-09T15:21:42Z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